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Layout w:type="fixed"/>
        <w:tblCellMar>
          <w:left w:w="70" w:type="dxa"/>
          <w:right w:w="70" w:type="dxa"/>
        </w:tblCellMar>
        <w:tblLook w:val="04A0" w:firstRow="1" w:lastRow="0" w:firstColumn="1" w:lastColumn="0" w:noHBand="0" w:noVBand="1"/>
      </w:tblPr>
      <w:tblGrid>
        <w:gridCol w:w="667"/>
        <w:gridCol w:w="4380"/>
        <w:gridCol w:w="5121"/>
        <w:gridCol w:w="312"/>
      </w:tblGrid>
      <w:tr>
        <w:trPr>
          <w:trHeight w:val="450"/>
        </w:trPr>
        <w:tc>
          <w:tcPr>
            <w:tcW w:w="10168" w:type="dxa"/>
            <w:gridSpan w:val="3"/>
            <w:vMerge w:val="restart"/>
            <w:shd w:val="clear" w:color="0563C1" w:fill="2F5597"/>
            <w:vAlign w:val="center"/>
          </w:tcPr>
          <w:p>
            <w:pPr>
              <w:widowControl w:val="0"/>
              <w:spacing w:after="0" w:line="240" w:lineRule="auto"/>
              <w:jc w:val="center"/>
              <w:rPr>
                <w:rFonts w:ascii="Calibri" w:eastAsia="Times New Roman" w:hAnsi="Calibri" w:cs="Calibri"/>
                <w:b/>
                <w:bCs/>
                <w:color w:val="FFFFFF"/>
                <w:lang w:eastAsia="sk-SK"/>
              </w:rPr>
            </w:pPr>
            <w:bookmarkStart w:id="0" w:name="_GoBack"/>
            <w:bookmarkEnd w:id="0"/>
            <w:r>
              <w:rPr>
                <w:rFonts w:eastAsia="Times New Roman" w:cs="Calibri"/>
                <w:b/>
                <w:bCs/>
                <w:color w:val="FFFFFF"/>
                <w:lang w:eastAsia="sk-SK"/>
              </w:rPr>
              <w:t xml:space="preserve">Charakteristika predkladaného výstupu tvorivej činnosti / </w:t>
            </w:r>
            <w:r>
              <w:rPr>
                <w:rFonts w:eastAsia="Times New Roman" w:cs="Calibri"/>
                <w:b/>
                <w:bCs/>
                <w:color w:val="FFFFFF"/>
                <w:lang w:eastAsia="sk-SK"/>
              </w:rPr>
              <w:br/>
              <w:t>Characteristics of the submitted research/ artistic/other output</w:t>
            </w:r>
          </w:p>
        </w:tc>
        <w:tc>
          <w:tcPr>
            <w:tcW w:w="312" w:type="dxa"/>
          </w:tcPr>
          <w:p>
            <w:pPr>
              <w:widowControl w:val="0"/>
            </w:pPr>
          </w:p>
        </w:tc>
      </w:tr>
      <w:tr>
        <w:trPr>
          <w:trHeight w:val="450"/>
        </w:trPr>
        <w:tc>
          <w:tcPr>
            <w:tcW w:w="10168" w:type="dxa"/>
            <w:gridSpan w:val="3"/>
            <w:vMerge/>
            <w:vAlign w:val="center"/>
          </w:tcPr>
          <w:p>
            <w:pPr>
              <w:widowControl w:val="0"/>
              <w:spacing w:after="0" w:line="240" w:lineRule="auto"/>
              <w:rPr>
                <w:rFonts w:ascii="Calibri" w:eastAsia="Times New Roman" w:hAnsi="Calibri" w:cs="Calibri"/>
                <w:b/>
                <w:bCs/>
                <w:color w:val="FFFFFF"/>
                <w:lang w:eastAsia="sk-SK"/>
              </w:rPr>
            </w:pPr>
          </w:p>
        </w:tc>
        <w:tc>
          <w:tcPr>
            <w:tcW w:w="312" w:type="dxa"/>
            <w:shd w:val="clear" w:color="auto" w:fill="auto"/>
            <w:vAlign w:val="bottom"/>
          </w:tcPr>
          <w:p>
            <w:pPr>
              <w:widowControl w:val="0"/>
              <w:spacing w:after="0" w:line="240" w:lineRule="auto"/>
              <w:jc w:val="center"/>
              <w:rPr>
                <w:rFonts w:ascii="Calibri" w:eastAsia="Times New Roman" w:hAnsi="Calibri" w:cs="Calibri"/>
                <w:b/>
                <w:bCs/>
                <w:color w:val="FFFFFF"/>
                <w:lang w:eastAsia="sk-SK"/>
              </w:rPr>
            </w:pPr>
          </w:p>
        </w:tc>
      </w:tr>
      <w:tr>
        <w:trPr>
          <w:trHeight w:val="6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ign w:val="center"/>
          </w:tcPr>
          <w:p>
            <w:pPr>
              <w:widowControl w:val="0"/>
              <w:spacing w:after="0" w:line="240" w:lineRule="auto"/>
              <w:rPr>
                <w:rFonts w:ascii="Calibri" w:eastAsia="Times New Roman" w:hAnsi="Calibri" w:cs="Calibri"/>
                <w:i/>
                <w:iCs/>
                <w:color w:val="2F5597"/>
                <w:sz w:val="16"/>
                <w:szCs w:val="16"/>
                <w:lang w:eastAsia="sk-SK"/>
              </w:rPr>
            </w:pPr>
          </w:p>
        </w:tc>
        <w:tc>
          <w:tcPr>
            <w:tcW w:w="312" w:type="dxa"/>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p>
        </w:tc>
      </w:tr>
      <w:tr>
        <w:trPr>
          <w:trHeight w:val="9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tcBorders>
              <w:top w:val="single" w:sz="8" w:space="0" w:color="2F5597"/>
              <w:left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5" w:anchor="'poznamky_explanatory notes'!A1" w:history="1">
              <w:r>
                <w:rPr>
                  <w:rFonts w:eastAsia="Times New Roman" w:cs="Calibri"/>
                  <w:sz w:val="16"/>
                  <w:szCs w:val="16"/>
                  <w:lang w:eastAsia="sk-SK"/>
                </w:rPr>
                <w:t xml:space="preserve">ID konania/ID of the procedure: </w:t>
              </w:r>
            </w:hyperlink>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left w:val="single" w:sz="8" w:space="0" w:color="2F5597"/>
              <w:bottom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6" w:anchor="'poznamky_explanatory notes'!A1" w:history="1">
              <w:bookmarkStart w:id="1" w:name="RANGE!C9"/>
              <w:r>
                <w:rPr>
                  <w:rFonts w:eastAsia="Times New Roman" w:cs="Calibri"/>
                  <w:sz w:val="16"/>
                  <w:szCs w:val="16"/>
                  <w:lang w:eastAsia="sk-SK"/>
                </w:rPr>
                <w:t>Kód VTC/Code of the research/artistic/other output (RAOO):</w:t>
              </w:r>
            </w:hyperlink>
            <w:r>
              <w:rPr>
                <w:rFonts w:eastAsia="Times New Roman" w:cs="Calibri"/>
                <w:sz w:val="16"/>
                <w:szCs w:val="16"/>
                <w:vertAlign w:val="superscript"/>
                <w:lang w:eastAsia="sk-SK"/>
              </w:rPr>
              <w:t>1</w:t>
            </w:r>
            <w:bookmarkEnd w:id="1"/>
          </w:p>
        </w:tc>
        <w:tc>
          <w:tcPr>
            <w:tcW w:w="5121" w:type="dxa"/>
            <w:tcBorders>
              <w:bottom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0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7" w:anchor="'poznamky_explanatory notes'!A1" w:history="1">
              <w:r>
                <w:rPr>
                  <w:rFonts w:eastAsia="Times New Roman" w:cs="Calibri"/>
                  <w:sz w:val="16"/>
                  <w:szCs w:val="16"/>
                  <w:lang w:eastAsia="sk-SK"/>
                </w:rPr>
                <w:t xml:space="preserve">OCA1. Priezvisko hodnotenej osoby / Surname awarded to the assessed person </w:t>
              </w:r>
            </w:hyperlink>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15"/>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8" w:anchor="'poznamky_explanatory notes'!A1" w:history="1">
              <w:r>
                <w:rPr>
                  <w:rFonts w:eastAsia="Times New Roman" w:cs="Calibri"/>
                  <w:sz w:val="16"/>
                  <w:szCs w:val="16"/>
                  <w:lang w:eastAsia="sk-SK"/>
                </w:rPr>
                <w:t xml:space="preserve">OCA2. Meno hodnotenej osoby / Name awarded to the assessed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Michaela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59"/>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9" w:anchor="'poznamky_explanatory notes'!A1" w:history="1">
              <w:r>
                <w:rPr>
                  <w:rFonts w:eastAsia="Times New Roman" w:cs="Calibri"/>
                  <w:sz w:val="16"/>
                  <w:szCs w:val="16"/>
                  <w:lang w:eastAsia="sk-SK"/>
                </w:rPr>
                <w:t xml:space="preserve">OCA3. Tituly hodnotenej osoby / Degrees awarded to the assessed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PhDr. et Bc.; PhD.; MBA; LL.M.</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0" w:anchor="'poznamky_explanatory notes'!A1" w:history="1">
              <w:r>
                <w:rPr>
                  <w:rFonts w:eastAsia="Times New Roman" w:cs="Calibri"/>
                  <w:sz w:val="16"/>
                  <w:szCs w:val="16"/>
                  <w:lang w:eastAsia="sk-SK"/>
                </w:rPr>
                <w:t xml:space="preserve">OCA4. Hyperlink na záznam osoby v Registri zamestnancov vysokých škôl / Hyperlink to the entry of the person in the Register of university staff </w:t>
              </w:r>
            </w:hyperlink>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0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1" w:anchor="'poznamky_explanatory notes'!A1" w:history="1">
              <w:r>
                <w:rPr>
                  <w:rFonts w:eastAsia="Times New Roman" w:cs="Calibri"/>
                  <w:sz w:val="16"/>
                  <w:szCs w:val="16"/>
                  <w:lang w:eastAsia="sk-SK"/>
                </w:rPr>
                <w:t xml:space="preserve">OCA5. Oblasť posudzovania / Area of assessment </w:t>
              </w:r>
            </w:hyperlink>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Sociálna práca I. - II. stupeň/ Social work I. - II.degree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72"/>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2" w:anchor="Expl.OCA6!A1" w:history="1">
              <w:r>
                <w:rPr>
                  <w:rFonts w:eastAsia="Times New Roman" w:cs="Calibri"/>
                  <w:sz w:val="16"/>
                  <w:szCs w:val="16"/>
                  <w:lang w:eastAsia="sk-SK"/>
                </w:rPr>
                <w:t xml:space="preserve">OCA6. Kategória výstupu tvorivej činnosti / Category of the research/ artistic/other output </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 možností (pozri Vysvetlivky k položke OCA6) / Choice from 6 options (see Explanations for OCA6). </w:t>
            </w:r>
          </w:p>
        </w:tc>
        <w:tc>
          <w:tcPr>
            <w:tcW w:w="5121" w:type="dxa"/>
            <w:tcBorders>
              <w:bottom w:val="single" w:sz="8" w:space="0" w:color="000000"/>
              <w:right w:val="single" w:sz="8" w:space="0" w:color="000000"/>
            </w:tcBorders>
            <w:shd w:val="clear" w:color="auto" w:fill="auto"/>
          </w:tcPr>
          <w:p>
            <w:pPr>
              <w:widowControl w:val="0"/>
              <w:spacing w:after="0" w:line="240" w:lineRule="auto"/>
              <w:rPr>
                <w:rFonts w:cstheme="minorHAnsi"/>
                <w:bCs/>
                <w:sz w:val="16"/>
              </w:rPr>
            </w:pPr>
            <w:r>
              <w:rPr>
                <w:sz w:val="16"/>
                <w:szCs w:val="16"/>
              </w:rPr>
              <w:t xml:space="preserve">pedagogický výstup / pedagogical </w:t>
            </w:r>
            <w:r>
              <w:rPr>
                <w:rFonts w:cstheme="minorHAnsi"/>
                <w:bCs/>
                <w:sz w:val="16"/>
              </w:rPr>
              <w:t>output</w:t>
            </w:r>
          </w:p>
          <w:p>
            <w:pPr>
              <w:pStyle w:val="Normlny1"/>
              <w:widowControl w:val="0"/>
              <w:rPr>
                <w:rFonts w:ascii="Calibri" w:hAnsi="Calibri" w:cs="Calibri"/>
                <w:sz w:val="16"/>
                <w:szCs w:val="16"/>
              </w:rPr>
            </w:pPr>
          </w:p>
          <w:p>
            <w:pPr>
              <w:pStyle w:val="Normlny1"/>
              <w:widowControl w:val="0"/>
              <w:rPr>
                <w:rFonts w:ascii="Calibri" w:eastAsia="Times New Roman" w:hAnsi="Calibri" w:cs="Calibri"/>
                <w:i/>
                <w:iCs/>
                <w:color w:val="000000"/>
                <w:sz w:val="16"/>
                <w:szCs w:val="16"/>
              </w:rPr>
            </w:pPr>
            <w:r>
              <w:rPr>
                <w:rFonts w:ascii="Calibri" w:hAnsi="Calibri" w:cs="Calibri"/>
                <w:sz w:val="16"/>
                <w:szCs w:val="16"/>
              </w:rPr>
              <w:t>DÁVIDOVÁ, M. 2018. Současný stav problematiky patologického hráčstva. In Zdravotníctví a sociální práce, 2018. ISSN 1336-9326. Roč. XIII, č. 1. s. 28-33.</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2018</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3" w:anchor="'poznamky_explanatory notes'!A1" w:history="1">
              <w:r>
                <w:rPr>
                  <w:rFonts w:eastAsia="Times New Roman" w:cs="Calibri"/>
                  <w:sz w:val="16"/>
                  <w:szCs w:val="16"/>
                  <w:lang w:eastAsia="sk-SK"/>
                </w:rPr>
                <w:t xml:space="preserve">OCA8. ID záznamu v CREPČ alebo CREUČ </w:t>
              </w:r>
            </w:hyperlink>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94"/>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4" w:anchor="'poznamky_explanatory notes'!A1" w:history="1">
              <w:r>
                <w:rPr>
                  <w:rFonts w:eastAsia="Times New Roman" w:cs="Calibri"/>
                  <w:sz w:val="16"/>
                  <w:szCs w:val="16"/>
                  <w:lang w:eastAsia="sk-SK"/>
                </w:rPr>
                <w:t xml:space="preserve">OCA9. Hyperlink na záznam v CREPČ alebo CREUČ / Hyperlink to the record in CRPA or CRAA </w:t>
              </w:r>
            </w:hyperlink>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left w:val="single" w:sz="8" w:space="0" w:color="000000"/>
              <w:bottom w:val="single" w:sz="8" w:space="0" w:color="000000"/>
              <w:right w:val="single" w:sz="8" w:space="0" w:color="000000"/>
            </w:tcBorders>
            <w:shd w:val="clear" w:color="FBE5D6" w:fill="DAE3F3"/>
            <w:textDirection w:val="btLr"/>
            <w:vAlign w:val="center"/>
          </w:tcPr>
          <w:p>
            <w:pPr>
              <w:widowControl w:val="0"/>
              <w:spacing w:after="0" w:line="240" w:lineRule="auto"/>
              <w:jc w:val="center"/>
              <w:rPr>
                <w:rFonts w:ascii="Calibri" w:eastAsia="Times New Roman" w:hAnsi="Calibri"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5" w:anchor="'poznamky_explanatory notes'!A1" w:history="1">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hyperlink>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val="clear" w:color="auto" w:fill="auto"/>
          </w:tcPr>
          <w:p>
            <w:pPr>
              <w:widowControl w:val="0"/>
              <w:spacing w:after="0" w:line="240" w:lineRule="auto"/>
              <w:ind w:left="160" w:hanging="160"/>
              <w:rPr>
                <w:rFonts w:eastAsia="Times New Roman" w:cs="Calibri"/>
                <w:color w:val="000000"/>
                <w:sz w:val="16"/>
                <w:szCs w:val="16"/>
                <w:lang w:eastAsia="sk-SK"/>
              </w:rPr>
            </w:pPr>
            <w:hyperlink r:id="rId16" w:history="1">
              <w:r>
                <w:rPr>
                  <w:rStyle w:val="Hypertextovprepojenie"/>
                  <w:rFonts w:eastAsia="Times New Roman" w:cs="Calibri"/>
                  <w:sz w:val="16"/>
                  <w:szCs w:val="16"/>
                  <w:lang w:eastAsia="sk-SK"/>
                </w:rPr>
                <w:t>https://arl4.library.sk/arl-sllk/en/detail/?&amp;idx=sllk_un_cat*0146819</w:t>
              </w:r>
            </w:hyperlink>
          </w:p>
          <w:p>
            <w:pPr>
              <w:widowControl w:val="0"/>
              <w:spacing w:after="0" w:line="240" w:lineRule="auto"/>
              <w:ind w:left="160" w:hanging="160"/>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cs="Calibri"/>
                <w:sz w:val="16"/>
                <w:szCs w:val="16"/>
              </w:rPr>
              <w:t xml:space="preserve">ADE </w:t>
            </w:r>
            <w:r>
              <w:rPr>
                <w:rFonts w:ascii="Calibri" w:hAnsi="Calibri" w:cs="Calibri"/>
                <w:sz w:val="16"/>
                <w:szCs w:val="16"/>
              </w:rPr>
              <w:t>DÁVIDOVÁ, M. 2018. Současný stav problematiky patologického hráčstva. In Zdravotníctví a sociální práce, 2018. ISSN 1336-9326. Roč. XIII, č. 1. s. 28-33.</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7" w:anchor="Expl.OCA12!A1" w:history="1">
              <w:r>
                <w:rPr>
                  <w:rFonts w:eastAsia="Times New Roman" w:cs="Calibri"/>
                  <w:sz w:val="16"/>
                  <w:szCs w:val="16"/>
                  <w:lang w:eastAsia="sk-SK"/>
                </w:rPr>
                <w:t>OCA12. Typ výstupu (ak nie je výstup registrovaný v CREPČ alebo CREUČ) / Type of the output (if the output is not registered in CRPA or CRAA)</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67 možností (pozri Vysvetlivky k položke OCA12) / Choice from 67 options (see Explanations for OCA12). </w:t>
            </w:r>
          </w:p>
        </w:tc>
        <w:tc>
          <w:tcPr>
            <w:tcW w:w="5121" w:type="dxa"/>
            <w:tcBorders>
              <w:bottom w:val="single" w:sz="8" w:space="0" w:color="000000"/>
              <w:right w:val="single" w:sz="8" w:space="0" w:color="000000"/>
            </w:tcBorders>
            <w:shd w:val="clear" w:color="auto" w:fill="auto"/>
          </w:tcPr>
          <w:p>
            <w:pPr>
              <w:pStyle w:val="Textpoznmkypodiarou"/>
              <w:widowControl w:val="0"/>
              <w:rPr>
                <w:sz w:val="16"/>
                <w:szCs w:val="16"/>
              </w:rPr>
            </w:pPr>
            <w:r>
              <w:rPr>
                <w:sz w:val="16"/>
                <w:szCs w:val="16"/>
              </w:rPr>
              <w:t>Vedecký článok v zahraničnom časopise / Scientific article in a foreign journal</w:t>
            </w:r>
          </w:p>
          <w:p>
            <w:pPr>
              <w:widowControl w:val="0"/>
              <w:spacing w:after="0" w:line="240" w:lineRule="auto"/>
              <w:rPr>
                <w:rFonts w:ascii="Calibri" w:eastAsia="Times New Roman" w:hAnsi="Calibri" w:cs="Calibri"/>
                <w:i/>
                <w:iCs/>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val="clear" w:color="auto" w:fill="auto"/>
          </w:tcPr>
          <w:p>
            <w:pPr>
              <w:widowControl w:val="0"/>
              <w:spacing w:after="0" w:line="240" w:lineRule="auto"/>
              <w:rPr>
                <w:lang w:eastAsia="sk-SK"/>
              </w:rPr>
            </w:pPr>
            <w:hyperlink r:id="rId18" w:history="1">
              <w:r>
                <w:rPr>
                  <w:rStyle w:val="Hypertextovprepojenie"/>
                  <w:lang w:eastAsia="sk-SK"/>
                </w:rPr>
                <w:t>https://www.zdravotnictvoasocialnapraca.sk/wp-content/uploads/ZaSP_Cislo_1_2018_CZ.pdf</w:t>
              </w:r>
            </w:hyperlink>
          </w:p>
          <w:p>
            <w:pPr>
              <w:widowControl w:val="0"/>
              <w:spacing w:after="0" w:line="240" w:lineRule="auto"/>
              <w:rPr>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val="clear" w:color="auto" w:fill="auto"/>
          </w:tcPr>
          <w:p>
            <w:pPr>
              <w:pStyle w:val="PredformtovanHTML"/>
              <w:widowControl w:val="0"/>
              <w:shd w:val="clear" w:color="auto" w:fill="F8F9FA"/>
              <w:spacing w:line="360" w:lineRule="atLeast"/>
              <w:rPr>
                <w:rFonts w:asciiTheme="minorHAnsi" w:hAnsiTheme="minorHAnsi"/>
                <w:color w:val="202124"/>
                <w:sz w:val="16"/>
                <w:szCs w:val="16"/>
              </w:rPr>
            </w:pPr>
            <w:r>
              <w:rPr>
                <w:rFonts w:ascii="Calibri" w:hAnsi="Calibri" w:cs="Calibri"/>
                <w:color w:val="202124"/>
                <w:sz w:val="16"/>
                <w:szCs w:val="16"/>
              </w:rPr>
              <w:t>100 %</w:t>
            </w:r>
          </w:p>
          <w:p>
            <w:pPr>
              <w:widowControl w:val="0"/>
              <w:spacing w:after="0" w:line="240" w:lineRule="auto"/>
              <w:rPr>
                <w:rFonts w:ascii="Calibri" w:eastAsia="Times New Roman" w:hAnsi="Calibri" w:cs="Calibri"/>
                <w:color w:val="000000"/>
                <w:sz w:val="16"/>
                <w:szCs w:val="16"/>
                <w:lang w:val="en-US"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9" w:anchor="'poznamky_explanatory notes'!A1" w:history="1">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hyperlink>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Range up to 200 words in SlovakRozsah do 200 slov v anglickom jazyku / Range up to 200 words in English </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themeColor="text1"/>
                <w:sz w:val="16"/>
                <w:szCs w:val="16"/>
                <w:lang w:eastAsia="sk-SK"/>
              </w:rPr>
            </w:pP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Príspevok obsahuje prehľad základných zistení z pohľadu terminologického vymedzenia patologického hráčstva. Ďalej uvádzame prehľad súčasného stavu patologického hráčstva s dôrazom na online patologické hráčstvo. </w:t>
            </w: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V závere príspevku uvádzame prehľad legislatívnych zmien. Súčasný stav problematiky patologického hráčstva poukazuje na nedostatočne rozpracované koncepty, a to hlavne z pohľadu online patologického </w:t>
            </w: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hráčstva, ktoré je spojené s problematickým užívaním internetu. Legislatíva si taktiež vyžaduje ešte viaceré zmeny a doplnenia, aby sa mohlo o patologickom hráčstve hovoriť ako o dostatočne kontrolovanom nežiaducom sociálno-patologickom fenoméne.</w:t>
            </w: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 </w:t>
            </w:r>
          </w:p>
          <w:p>
            <w:pPr>
              <w:widowControl w:val="0"/>
              <w:spacing w:after="0" w:line="240" w:lineRule="auto"/>
              <w:rPr>
                <w:rFonts w:cs="Calibri"/>
                <w:color w:val="000000"/>
                <w:sz w:val="16"/>
                <w:szCs w:val="16"/>
              </w:rPr>
            </w:pPr>
            <w:r>
              <w:rPr>
                <w:rFonts w:cs="Calibri"/>
                <w:color w:val="000000" w:themeColor="text1"/>
                <w:sz w:val="16"/>
                <w:szCs w:val="16"/>
                <w:lang w:val="en-GB"/>
              </w:rPr>
              <w:t>The article contain the summary of the basic findings from terminological definition gambling point of view. The next we state the general knowledge of pathological gambling with the emphasis on the online pathological gambling. In the next of the article we deal the summary of legislative changes. The gambling issue is the multidisciplinary phenomenon, which id dealed a lot of scientific discipline. From social work point of view we can say that it is the social – pathological phenomena that is multifactorial  etermined and which the prevention and intervention require application interdisciplinary approach in the content of theory and practice.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15"/>
        </w:trPr>
        <w:tc>
          <w:tcPr>
            <w:tcW w:w="5047" w:type="dxa"/>
            <w:gridSpan w:val="2"/>
            <w:tcBorders>
              <w:top w:val="single" w:sz="8" w:space="0" w:color="000000"/>
              <w:left w:val="single" w:sz="8" w:space="0" w:color="000000"/>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20" w:anchor="'poznamky_explanatory notes'!A1" w:history="1">
              <w:r>
                <w:rPr>
                  <w:rFonts w:eastAsia="Times New Roman" w:cs="Calibri"/>
                  <w:sz w:val="16"/>
                  <w:szCs w:val="16"/>
                  <w:lang w:eastAsia="sk-SK"/>
                </w:rPr>
                <w:t xml:space="preserve">OCA16. Anotácia výstupu v anglickom jazyku / Annotation of the output in English </w:t>
              </w:r>
            </w:hyperlink>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val="clear" w:color="auto" w:fill="auto"/>
          </w:tcPr>
          <w:p>
            <w:pPr>
              <w:widowControl w:val="0"/>
              <w:rPr>
                <w:rFonts w:cs="Calibri"/>
                <w:color w:val="000000" w:themeColor="text1"/>
                <w:sz w:val="16"/>
                <w:szCs w:val="16"/>
                <w:lang w:val="en-GB"/>
              </w:rPr>
            </w:pPr>
            <w:r>
              <w:rPr>
                <w:rFonts w:cs="Calibri"/>
                <w:color w:val="000000" w:themeColor="text1"/>
                <w:sz w:val="16"/>
                <w:szCs w:val="16"/>
                <w:lang w:val="en-GB"/>
              </w:rPr>
              <w:t>Incessantly increasing trend of gambling is the consequences of the normalization this behaviour in the common population. Contributes to this the mass media and in the nowadays the „virtual company“ i tis called, too. The article contain the summary of the basic findings from terminological definition gambling point of view. The next we state the general knowledge of pathological gambling with the emphasis on the online pathological gambling. In the next of the article we deal the summary of legislative changes. The gambling issue is the multidisciplinary phenomenon, which id dealed a lot of scientific discipline. From social work point of view we can say that it is the social – pathological phenomena that is multifactorial determined and which the prevention and intervention require application interdisciplinary approach in the content of theory and practice. The issue of compulsive gambling is multidisciplinary phenomenon, which is dealt with by many scientific disciplines. From the viewpoint of social work it is deemed as a multifactorially determined social-pathological phenomenon, which requires interdisciplinary approach to its prevention and intervention in the realm of both, theory and practice.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81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rPr>
                <w:rFonts w:eastAsia="SimSun" w:cstheme="minorHAnsi"/>
                <w:color w:val="212529"/>
                <w:sz w:val="16"/>
                <w:szCs w:val="16"/>
                <w:shd w:val="clear" w:color="auto" w:fill="FFFFFF"/>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7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v slovenskom jazyku / Range up to 200 words in Slovak</w:t>
            </w:r>
            <w:r>
              <w:rPr>
                <w:rFonts w:eastAsia="Times New Roman" w:cs="Calibri"/>
                <w:i/>
                <w:iCs/>
                <w:color w:val="808080"/>
                <w:sz w:val="16"/>
                <w:szCs w:val="16"/>
                <w:lang w:eastAsia="sk-SK"/>
              </w:rPr>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súčasný stav problematiky hrania hazardných hier v podmienkach Slovenskej republiky, čo má vplyv na spoločnosť, ako aj na jednotlivé subštruktúry hospodárstva z pohľadu sociálnej politiky, ako aj z pohľadu ekonomickej dimenzie fungovania štátu na primárnej, sekundárnej, ako aj terciárnej úrovni. Hazardné hranie je nielen sociálnou patológiou v rámci jeho výskytu vo vyššej miere, ale aj zdrojom dopĺňania štátneho rozpočtu v rámci pôsobnosti herných spoločností. Medializácia tohto fenoménu spôsobuje jeho vzostup, a to predovšetkým v online priestore.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The output focuses on the current state of the issue of gambling in the conditions of the Slovak Republic, which has an impact on society, as well as on individual substructures of the economy from the point of view of social policy, as well as from the point of view of the economic dimension of the functioning of the state at the primary, secondary, and tertiary levels. Gambling is not only a social pathology in the context of its occurrence in a higher degree, but also a source of replenishment of the state budget within the scope of gaming companies. Media coverage of this phenomenon causes its rise, especially in the online space.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eastAsia="Times New Roman" w:cs="Calibri"/>
                <w:color w:val="000000"/>
                <w:sz w:val="16"/>
                <w:szCs w:val="16"/>
                <w:lang w:eastAsia="sk-SK"/>
              </w:rPr>
              <w:br/>
            </w:r>
            <w:r>
              <w:rPr>
                <w:rFonts w:eastAsia="Times New Roman" w:cs="Calibri"/>
                <w:i/>
                <w:iCs/>
                <w:color w:val="808080"/>
                <w:sz w:val="16"/>
                <w:szCs w:val="16"/>
                <w:lang w:eastAsia="sk-SK"/>
              </w:rPr>
              <w:t>Rozsah do 200 slov v slovenskom jazyku / Range up to 200 words in Slovak</w:t>
            </w:r>
            <w:r>
              <w:rPr>
                <w:rFonts w:eastAsia="Times New Roman" w:cs="Calibri"/>
                <w:i/>
                <w:iCs/>
                <w:color w:val="808080"/>
                <w:sz w:val="16"/>
                <w:szCs w:val="16"/>
                <w:lang w:eastAsia="sk-SK"/>
              </w:rPr>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sz w:val="16"/>
                <w:szCs w:val="16"/>
              </w:rPr>
            </w:pPr>
            <w:r>
              <w:rPr>
                <w:rFonts w:ascii="Calibri" w:hAnsi="Calibri" w:cs="Calibri"/>
                <w:color w:val="000000"/>
                <w:sz w:val="16"/>
                <w:szCs w:val="16"/>
              </w:rPr>
              <w:t xml:space="preserve">Výstup sa zameriava na súčasný stav hrania hazardných hier v podmienkach Slovenskej republiky, čím zdôrazňuje potrebu sociálnej prevencie a intervencie tohto javu. Fenomén možnej závislosti od hazardných hier úzko súvisí so </w:t>
            </w:r>
            <w:r>
              <w:rPr>
                <w:rFonts w:ascii="Calibri" w:hAnsi="Calibri" w:cs="Calibri"/>
                <w:sz w:val="16"/>
                <w:szCs w:val="16"/>
              </w:rPr>
              <w:t xml:space="preserve">sociálnou prácou s rodinou, sociálnou patológiou a objasňuje psychologické a sociálnopatologické fenomény v kontexte psychológie osobnosti, psychopatológie, respektíve aj sociálnej psychológie v rámci sociálnych vzťahov v spoločnosti, v rodine a v širších sociálnych súvislostiach. Tieto poznatky sú aplikované do oblasti vedného odboru sociálna práca v zmysle sociálnej prevencie, sociálnej práce so závislým klientom, ako aj sociálnej práce s rodinou, na čo nadväzuje aj oblasť sociálnoprávnej ochrany detí a sociálnej kurately vzhľadom na to, že hazardné hranie v rodine môže viesť k vyššej miere ohrozenia dieťaťa, a to nielen z pohľadu zníženia socioekonomického statusu, ale aj celkového fungovania v rámci bio-psycho-sociálneho vývinu jeho osobnosti, s čím súvisí profil rodiča a jeho psychopatologická, respektíve sociálnopatologická </w:t>
            </w:r>
            <w:r>
              <w:rPr>
                <w:rFonts w:ascii="Calibri" w:hAnsi="Calibri" w:cs="Calibri"/>
                <w:sz w:val="16"/>
                <w:szCs w:val="16"/>
              </w:rPr>
              <w:lastRenderedPageBreak/>
              <w:t xml:space="preserve">nadstavba.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The output focuses on the current state of gambling in the conditions of the Slovak Republic, thereby emphasizing the need for social prevention and intervention of this phenomenon. The phenomenon of possible addiction to gambling is closely related to social work with the family, social pathology and clarifies psychological and sociopathological phenomena in the context of personality psychology, psychopathology, respectively also social psychology within the framework of social relations in society, in the family and in wider social contexts. This knowledge is applied to the field of social work in the sense of social prevention, social work with an addicted client, as well as social work with the family, which is followed by the area of ​​social protection of children and social guardianship, given that gambling in the family can lead to to a higher degree of endangerment of the child, not only from the point of view of the reduction of socioeconomic status, but also of the overall functioning within the bio-psycho-social development of his personality, which is related to the profile of the parent and his psychopathological or socio-pathological superstructure.</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D46F9-6A55-4EA8-937B-DDC5C935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b/>
      <w:bCs/>
      <w:kern w:val="2"/>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unhideWhenUsed/>
    <w:qFormat/>
    <w:rPr>
      <w:color w:val="0563C1"/>
      <w:u w:val="single"/>
    </w:rPr>
  </w:style>
  <w:style w:type="character" w:customStyle="1" w:styleId="UnresolvedMention">
    <w:name w:val="Unresolved Mention"/>
    <w:basedOn w:val="Predvolenpsmoodseku"/>
    <w:uiPriority w:val="99"/>
    <w:semiHidden/>
    <w:unhideWhenUsed/>
    <w:qFormat/>
    <w:rPr>
      <w:color w:val="605E5C"/>
      <w:shd w:val="clear" w:color="auto" w:fill="E1DFDD"/>
    </w:rPr>
  </w:style>
  <w:style w:type="character" w:customStyle="1" w:styleId="Nadpis2Char">
    <w:name w:val="Nadpis 2 Char"/>
    <w:basedOn w:val="Predvolenpsmoodseku"/>
    <w:link w:val="Nadpis2"/>
    <w:uiPriority w:val="9"/>
    <w:semiHidden/>
    <w:qFormat/>
    <w:rPr>
      <w:rFonts w:asciiTheme="majorHAnsi" w:eastAsiaTheme="majorEastAsia" w:hAnsiTheme="majorHAnsi" w:cstheme="majorBidi"/>
      <w:color w:val="2F5496" w:themeColor="accent1" w:themeShade="BF"/>
      <w:sz w:val="26"/>
      <w:szCs w:val="26"/>
      <w:lang w:eastAsia="en-US" w:bidi="ar-SA"/>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Pr>
      <w:sz w:val="24"/>
      <w:szCs w:val="24"/>
    </w:rPr>
  </w:style>
  <w:style w:type="paragraph" w:customStyle="1" w:styleId="Normlny1">
    <w:name w:val="Normálny1"/>
    <w:qFormat/>
    <w:rPr>
      <w:rFonts w:ascii="Liberation Serif" w:eastAsia="Liberation Serif" w:hAnsi="Liberation Serif" w:cs="Liberation Serif"/>
      <w:sz w:val="24"/>
      <w:szCs w:val="24"/>
      <w:lang w:bidi="ar-SA"/>
    </w:rPr>
  </w:style>
  <w:style w:type="paragraph" w:customStyle="1" w:styleId="western">
    <w:name w:val="western"/>
    <w:qFormat/>
    <w:rPr>
      <w:rFonts w:cs="Mangal"/>
      <w:sz w:val="24"/>
      <w:szCs w:val="24"/>
      <w:lang w:val="en-US" w:eastAsia="zh-CN"/>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 w:type="character" w:styleId="Hypertextovprepojenie">
    <w:name w:val="Hyperlink"/>
    <w:basedOn w:val="Predvolenpsmoodseku"/>
    <w:uiPriority w:val="99"/>
    <w:unhideWhenUsed/>
    <w:qFormat/>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C5%A0ablony%20akredit%C3%A1cia/4_VTC.xlsx" TargetMode="External"/><Relationship Id="rId13" Type="http://schemas.openxmlformats.org/officeDocument/2006/relationships/hyperlink" Target="file:///E:/%C5%A0ablony%20akredit%C3%A1cia/4_VTC.xlsx" TargetMode="External"/><Relationship Id="rId18" Type="http://schemas.openxmlformats.org/officeDocument/2006/relationships/hyperlink" Target="https://www.zdravotnictvoasocialnapraca.sk/wp-content/uploads/ZaSP_Cislo_1_2018_CZ.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E:/%C5%A0ablony%20akredit%C3%A1cia/4_VTC.xlsx" TargetMode="External"/><Relationship Id="rId12" Type="http://schemas.openxmlformats.org/officeDocument/2006/relationships/hyperlink" Target="file:///E:/%C5%A0ablony%20akredit%C3%A1cia/4_VTC.xlsx" TargetMode="External"/><Relationship Id="rId17" Type="http://schemas.openxmlformats.org/officeDocument/2006/relationships/hyperlink" Target="file:///E:/%C5%A0ablony%20akredit%C3%A1cia/4_VTC.xlsx" TargetMode="External"/><Relationship Id="rId2" Type="http://schemas.openxmlformats.org/officeDocument/2006/relationships/styles" Target="styles.xml"/><Relationship Id="rId16" Type="http://schemas.openxmlformats.org/officeDocument/2006/relationships/hyperlink" Target="https://arl4.library.sk/arl-sllk/en/detail/?&amp;idx=sllk_un_cat*0146819" TargetMode="External"/><Relationship Id="rId20" Type="http://schemas.openxmlformats.org/officeDocument/2006/relationships/hyperlink" Target="file:///E:/%C5%A0ablony%20akredit%C3%A1cia/4_VTC.xlsx" TargetMode="External"/><Relationship Id="rId1" Type="http://schemas.openxmlformats.org/officeDocument/2006/relationships/customXml" Target="../customXml/item1.xml"/><Relationship Id="rId6" Type="http://schemas.openxmlformats.org/officeDocument/2006/relationships/hyperlink" Target="file:///E:/%C5%A0ablony%20akredit%C3%A1cia/4_VTC.xlsx" TargetMode="External"/><Relationship Id="rId11" Type="http://schemas.openxmlformats.org/officeDocument/2006/relationships/hyperlink" Target="file:///E:/%C5%A0ablony%20akredit%C3%A1cia/4_VTC.xlsx" TargetMode="External"/><Relationship Id="rId5" Type="http://schemas.openxmlformats.org/officeDocument/2006/relationships/hyperlink" Target="file:///E:/%C5%A0ablony%20akredit%C3%A1cia/4_VTC.xlsx" TargetMode="External"/><Relationship Id="rId15" Type="http://schemas.openxmlformats.org/officeDocument/2006/relationships/hyperlink" Target="file:///E:/%C5%A0ablony%20akredit%C3%A1cia/4_VTC.xlsx" TargetMode="External"/><Relationship Id="rId10" Type="http://schemas.openxmlformats.org/officeDocument/2006/relationships/hyperlink" Target="file:///E:/%C5%A0ablony%20akredit%C3%A1cia/4_VTC.xlsx" TargetMode="External"/><Relationship Id="rId19" Type="http://schemas.openxmlformats.org/officeDocument/2006/relationships/hyperlink" Target="file:///E:/%C5%A0ablony%20akredit%C3%A1cia/4_VTC.xlsx" TargetMode="External"/><Relationship Id="rId4" Type="http://schemas.openxmlformats.org/officeDocument/2006/relationships/webSettings" Target="webSettings.xml"/><Relationship Id="rId9" Type="http://schemas.openxmlformats.org/officeDocument/2006/relationships/hyperlink" Target="file:///E:/%C5%A0ablony%20akredit%C3%A1cia/4_VTC.xlsx" TargetMode="External"/><Relationship Id="rId14" Type="http://schemas.openxmlformats.org/officeDocument/2006/relationships/hyperlink" Target="file:///E:/%C5%A0ablony%20akredit%C3%A1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1882</Words>
  <Characters>10728</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Králik</dc:creator>
  <dc:description/>
  <cp:lastModifiedBy>Hardy Mária</cp:lastModifiedBy>
  <cp:revision>2</cp:revision>
  <dcterms:created xsi:type="dcterms:W3CDTF">2024-02-12T09:47:00Z</dcterms:created>
  <dcterms:modified xsi:type="dcterms:W3CDTF">2024-02-12T09:47:00Z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